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E660F" w14:textId="3D46608C" w:rsidR="00257E49" w:rsidRPr="00257E49" w:rsidRDefault="00257E49" w:rsidP="00257E49">
      <w:pPr>
        <w:jc w:val="center"/>
        <w:rPr>
          <w:b/>
          <w:bCs/>
          <w:sz w:val="32"/>
          <w:szCs w:val="32"/>
        </w:rPr>
      </w:pPr>
      <w:r w:rsidRPr="00257E49">
        <w:rPr>
          <w:b/>
          <w:bCs/>
          <w:sz w:val="32"/>
          <w:szCs w:val="32"/>
        </w:rPr>
        <w:t xml:space="preserve">Defining the upper age limit of luminescence dating: A case study </w:t>
      </w:r>
      <w:r w:rsidR="000909B5">
        <w:rPr>
          <w:b/>
          <w:bCs/>
          <w:sz w:val="32"/>
          <w:szCs w:val="32"/>
        </w:rPr>
        <w:t>using long</w:t>
      </w:r>
      <w:r w:rsidR="000909B5" w:rsidRPr="00257E49">
        <w:rPr>
          <w:b/>
          <w:bCs/>
          <w:sz w:val="32"/>
          <w:szCs w:val="32"/>
        </w:rPr>
        <w:t xml:space="preserve"> </w:t>
      </w:r>
      <w:r w:rsidRPr="00257E49">
        <w:rPr>
          <w:b/>
          <w:bCs/>
          <w:sz w:val="32"/>
          <w:szCs w:val="32"/>
        </w:rPr>
        <w:t xml:space="preserve">lacustrine </w:t>
      </w:r>
      <w:r w:rsidR="000909B5">
        <w:rPr>
          <w:b/>
          <w:bCs/>
          <w:sz w:val="32"/>
          <w:szCs w:val="32"/>
        </w:rPr>
        <w:t>records</w:t>
      </w:r>
      <w:r w:rsidRPr="00257E49">
        <w:rPr>
          <w:b/>
          <w:bCs/>
          <w:sz w:val="32"/>
          <w:szCs w:val="32"/>
        </w:rPr>
        <w:t xml:space="preserve"> from Chew Bahir, Ethiopia</w:t>
      </w:r>
    </w:p>
    <w:p w14:paraId="3A6E2989" w14:textId="77777777" w:rsidR="00257E49" w:rsidRPr="00257E49" w:rsidRDefault="00257E49" w:rsidP="00257E49">
      <w:pPr>
        <w:jc w:val="center"/>
        <w:rPr>
          <w:b/>
          <w:sz w:val="28"/>
          <w:szCs w:val="28"/>
        </w:rPr>
      </w:pPr>
    </w:p>
    <w:p w14:paraId="2F3C4FAD" w14:textId="1A8F6988" w:rsidR="00257E49" w:rsidRPr="003B6719" w:rsidRDefault="00257E49" w:rsidP="00257E49">
      <w:pPr>
        <w:jc w:val="center"/>
        <w:rPr>
          <w:sz w:val="28"/>
          <w:szCs w:val="28"/>
        </w:rPr>
      </w:pPr>
      <w:r w:rsidRPr="00257E49">
        <w:rPr>
          <w:sz w:val="28"/>
          <w:szCs w:val="28"/>
        </w:rPr>
        <w:t>M. S. Chapot</w:t>
      </w:r>
      <w:proofErr w:type="gramStart"/>
      <w:r w:rsidRPr="00257E49">
        <w:rPr>
          <w:sz w:val="28"/>
          <w:szCs w:val="28"/>
        </w:rPr>
        <w:t>,</w:t>
      </w:r>
      <w:r w:rsidRPr="00257E49">
        <w:rPr>
          <w:sz w:val="28"/>
          <w:szCs w:val="28"/>
          <w:vertAlign w:val="superscript"/>
        </w:rPr>
        <w:t>1</w:t>
      </w:r>
      <w:proofErr w:type="gramEnd"/>
      <w:r w:rsidRPr="00257E49">
        <w:rPr>
          <w:sz w:val="28"/>
          <w:szCs w:val="28"/>
        </w:rPr>
        <w:t xml:space="preserve"> H. M. Roberts,</w:t>
      </w:r>
      <w:r w:rsidRPr="00257E49">
        <w:rPr>
          <w:sz w:val="28"/>
          <w:szCs w:val="28"/>
          <w:vertAlign w:val="superscript"/>
        </w:rPr>
        <w:t xml:space="preserve">1 </w:t>
      </w:r>
      <w:r w:rsidR="003B6719">
        <w:rPr>
          <w:sz w:val="28"/>
          <w:szCs w:val="28"/>
        </w:rPr>
        <w:t xml:space="preserve">H. F. </w:t>
      </w:r>
      <w:r w:rsidR="003B6719" w:rsidRPr="003B6719">
        <w:rPr>
          <w:sz w:val="28"/>
          <w:szCs w:val="28"/>
        </w:rPr>
        <w:t>Lamb</w:t>
      </w:r>
      <w:r w:rsidR="003B6719" w:rsidRPr="003B6719">
        <w:rPr>
          <w:sz w:val="28"/>
          <w:szCs w:val="28"/>
          <w:vertAlign w:val="superscript"/>
        </w:rPr>
        <w:t>1</w:t>
      </w:r>
      <w:r w:rsidR="003B6719" w:rsidRPr="003B6719">
        <w:rPr>
          <w:sz w:val="28"/>
          <w:szCs w:val="28"/>
        </w:rPr>
        <w:t xml:space="preserve">, </w:t>
      </w:r>
      <w:r w:rsidR="00DE60A9">
        <w:rPr>
          <w:sz w:val="28"/>
          <w:szCs w:val="28"/>
        </w:rPr>
        <w:t xml:space="preserve">F. </w:t>
      </w:r>
      <w:r w:rsidR="003B6719" w:rsidRPr="003B6719">
        <w:rPr>
          <w:sz w:val="28"/>
          <w:szCs w:val="28"/>
        </w:rPr>
        <w:t>Schäbitz</w:t>
      </w:r>
      <w:r w:rsidR="00DE60A9" w:rsidRPr="00DE60A9">
        <w:rPr>
          <w:sz w:val="28"/>
          <w:szCs w:val="28"/>
          <w:vertAlign w:val="superscript"/>
        </w:rPr>
        <w:t>2</w:t>
      </w:r>
      <w:r w:rsidR="003B6719" w:rsidRPr="003B6719">
        <w:rPr>
          <w:sz w:val="28"/>
          <w:szCs w:val="28"/>
        </w:rPr>
        <w:t xml:space="preserve">, </w:t>
      </w:r>
      <w:r w:rsidR="00DE60A9">
        <w:rPr>
          <w:sz w:val="28"/>
          <w:szCs w:val="28"/>
        </w:rPr>
        <w:t xml:space="preserve">A. </w:t>
      </w:r>
      <w:r w:rsidR="003B6719" w:rsidRPr="003B6719">
        <w:rPr>
          <w:sz w:val="28"/>
          <w:szCs w:val="28"/>
        </w:rPr>
        <w:t>Asrat</w:t>
      </w:r>
      <w:r w:rsidR="00DE60A9" w:rsidRPr="00DE60A9">
        <w:rPr>
          <w:sz w:val="28"/>
          <w:szCs w:val="28"/>
          <w:vertAlign w:val="superscript"/>
        </w:rPr>
        <w:t>3</w:t>
      </w:r>
      <w:r w:rsidR="003B6719" w:rsidRPr="003B6719">
        <w:rPr>
          <w:sz w:val="28"/>
          <w:szCs w:val="28"/>
        </w:rPr>
        <w:t xml:space="preserve">, </w:t>
      </w:r>
      <w:r w:rsidR="00DE60A9">
        <w:rPr>
          <w:sz w:val="28"/>
          <w:szCs w:val="28"/>
        </w:rPr>
        <w:t>M. H.</w:t>
      </w:r>
      <w:r w:rsidR="003B6719" w:rsidRPr="003B6719">
        <w:rPr>
          <w:sz w:val="28"/>
          <w:szCs w:val="28"/>
        </w:rPr>
        <w:t xml:space="preserve"> Trauth</w:t>
      </w:r>
      <w:r w:rsidR="00DE60A9" w:rsidRPr="00DE60A9">
        <w:rPr>
          <w:sz w:val="28"/>
          <w:szCs w:val="28"/>
          <w:vertAlign w:val="superscript"/>
        </w:rPr>
        <w:t>4</w:t>
      </w:r>
      <w:r w:rsidR="003B6719" w:rsidRPr="003B6719">
        <w:rPr>
          <w:sz w:val="28"/>
          <w:szCs w:val="28"/>
        </w:rPr>
        <w:t xml:space="preserve">, </w:t>
      </w:r>
      <w:r w:rsidR="002056DC">
        <w:rPr>
          <w:sz w:val="28"/>
          <w:szCs w:val="28"/>
        </w:rPr>
        <w:t>and the Chew Bahir Science Team</w:t>
      </w:r>
    </w:p>
    <w:p w14:paraId="37C970B2" w14:textId="77777777" w:rsidR="00257E49" w:rsidRPr="00257E49" w:rsidRDefault="00257E49" w:rsidP="00257E49">
      <w:pPr>
        <w:jc w:val="center"/>
        <w:rPr>
          <w:sz w:val="22"/>
          <w:szCs w:val="22"/>
        </w:rPr>
      </w:pPr>
    </w:p>
    <w:p w14:paraId="5F145ADB" w14:textId="77777777" w:rsidR="00DE60A9" w:rsidRDefault="00257E49" w:rsidP="00D5248F">
      <w:pPr>
        <w:rPr>
          <w:i/>
          <w:iCs/>
          <w:sz w:val="22"/>
          <w:szCs w:val="22"/>
        </w:rPr>
      </w:pPr>
      <w:r w:rsidRPr="00257E49">
        <w:rPr>
          <w:sz w:val="22"/>
          <w:szCs w:val="22"/>
          <w:vertAlign w:val="superscript"/>
        </w:rPr>
        <w:t>1</w:t>
      </w:r>
      <w:r w:rsidRPr="00257E49">
        <w:t xml:space="preserve"> </w:t>
      </w:r>
      <w:r w:rsidRPr="00257E49">
        <w:rPr>
          <w:i/>
          <w:iCs/>
          <w:sz w:val="22"/>
          <w:szCs w:val="22"/>
        </w:rPr>
        <w:t>Aberystwyth University, Department of Geography and Earth Sciences, Aberystwyth, UK</w:t>
      </w:r>
    </w:p>
    <w:p w14:paraId="37F8BF48" w14:textId="06BA5D0A" w:rsidR="00DE60A9" w:rsidRPr="00DE60A9" w:rsidRDefault="00D5248F" w:rsidP="00D5248F">
      <w:pPr>
        <w:rPr>
          <w:i/>
          <w:iCs/>
          <w:sz w:val="22"/>
          <w:szCs w:val="22"/>
        </w:rPr>
      </w:pPr>
      <w:r w:rsidRPr="00DE60A9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proofErr w:type="gramStart"/>
      <w:r w:rsidR="00DE60A9" w:rsidRPr="00DE60A9">
        <w:rPr>
          <w:i/>
          <w:iCs/>
          <w:sz w:val="22"/>
          <w:szCs w:val="22"/>
        </w:rPr>
        <w:t>University</w:t>
      </w:r>
      <w:proofErr w:type="gramEnd"/>
      <w:r w:rsidR="00DE60A9" w:rsidRPr="00DE60A9">
        <w:rPr>
          <w:i/>
          <w:iCs/>
          <w:sz w:val="22"/>
          <w:szCs w:val="22"/>
        </w:rPr>
        <w:t xml:space="preserve"> of Cologne, </w:t>
      </w:r>
      <w:r w:rsidR="00041506">
        <w:rPr>
          <w:i/>
          <w:iCs/>
          <w:sz w:val="22"/>
          <w:szCs w:val="22"/>
        </w:rPr>
        <w:t>Institute of</w:t>
      </w:r>
      <w:r w:rsidR="00DE60A9" w:rsidRPr="00DE60A9">
        <w:rPr>
          <w:i/>
          <w:iCs/>
          <w:sz w:val="22"/>
          <w:szCs w:val="22"/>
        </w:rPr>
        <w:t xml:space="preserve"> Geography Education, Cologne, Germany</w:t>
      </w:r>
    </w:p>
    <w:p w14:paraId="5CCF100F" w14:textId="369008FF" w:rsidR="00DE60A9" w:rsidRPr="00DE60A9" w:rsidRDefault="00D5248F" w:rsidP="00D5248F">
      <w:pPr>
        <w:rPr>
          <w:i/>
          <w:iCs/>
          <w:sz w:val="22"/>
          <w:szCs w:val="22"/>
        </w:rPr>
      </w:pPr>
      <w:r w:rsidRPr="00DE60A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="00DE60A9" w:rsidRPr="00DE60A9">
        <w:rPr>
          <w:i/>
          <w:iCs/>
          <w:sz w:val="22"/>
          <w:szCs w:val="22"/>
        </w:rPr>
        <w:t xml:space="preserve">Addis Ababa </w:t>
      </w:r>
      <w:proofErr w:type="gramStart"/>
      <w:r w:rsidR="00DE60A9" w:rsidRPr="00DE60A9">
        <w:rPr>
          <w:i/>
          <w:iCs/>
          <w:sz w:val="22"/>
          <w:szCs w:val="22"/>
        </w:rPr>
        <w:t>University</w:t>
      </w:r>
      <w:proofErr w:type="gramEnd"/>
      <w:r w:rsidR="00DE60A9" w:rsidRPr="00DE60A9">
        <w:rPr>
          <w:i/>
          <w:iCs/>
          <w:sz w:val="22"/>
          <w:szCs w:val="22"/>
        </w:rPr>
        <w:t>, School of Earth Sciences, Addis Ababa, Ethiopia</w:t>
      </w:r>
    </w:p>
    <w:p w14:paraId="45F53621" w14:textId="4EB5F999" w:rsidR="00257E49" w:rsidRPr="00257E49" w:rsidRDefault="00D5248F" w:rsidP="00D5248F">
      <w:pPr>
        <w:rPr>
          <w:i/>
          <w:iCs/>
          <w:sz w:val="22"/>
          <w:szCs w:val="22"/>
        </w:rPr>
      </w:pPr>
      <w:r w:rsidRPr="00DE60A9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proofErr w:type="gramStart"/>
      <w:r w:rsidR="00DE60A9" w:rsidRPr="00DE60A9">
        <w:rPr>
          <w:i/>
          <w:iCs/>
          <w:sz w:val="22"/>
          <w:szCs w:val="22"/>
        </w:rPr>
        <w:t>University</w:t>
      </w:r>
      <w:proofErr w:type="gramEnd"/>
      <w:r w:rsidR="00DE60A9" w:rsidRPr="00DE60A9">
        <w:rPr>
          <w:i/>
          <w:iCs/>
          <w:sz w:val="22"/>
          <w:szCs w:val="22"/>
        </w:rPr>
        <w:t xml:space="preserve"> of Potsdam, Institute for Earth and Environmental Sciences, Potsdam, Germany</w:t>
      </w:r>
    </w:p>
    <w:p w14:paraId="6B2A652E" w14:textId="77777777" w:rsidR="00257E49" w:rsidRPr="00257E49" w:rsidRDefault="00257E49" w:rsidP="00257E49">
      <w:pPr>
        <w:jc w:val="center"/>
        <w:rPr>
          <w:i/>
          <w:sz w:val="22"/>
          <w:szCs w:val="22"/>
        </w:rPr>
      </w:pPr>
    </w:p>
    <w:p w14:paraId="78E26785" w14:textId="51BBA001" w:rsidR="000909B5" w:rsidRDefault="00257E49" w:rsidP="002E55C4">
      <w:pPr>
        <w:ind w:firstLine="720"/>
        <w:jc w:val="both"/>
        <w:rPr>
          <w:sz w:val="22"/>
          <w:szCs w:val="22"/>
        </w:rPr>
      </w:pPr>
      <w:r w:rsidRPr="00257E49">
        <w:rPr>
          <w:sz w:val="22"/>
          <w:szCs w:val="22"/>
        </w:rPr>
        <w:t>Optically stimulated luminescence (OSL) dating is a</w:t>
      </w:r>
      <w:r w:rsidR="00A93F6F">
        <w:rPr>
          <w:sz w:val="22"/>
          <w:szCs w:val="22"/>
        </w:rPr>
        <w:t xml:space="preserve"> family of</w:t>
      </w:r>
      <w:r w:rsidRPr="00257E49">
        <w:rPr>
          <w:sz w:val="22"/>
          <w:szCs w:val="22"/>
        </w:rPr>
        <w:t xml:space="preserve"> </w:t>
      </w:r>
      <w:r w:rsidR="000909B5">
        <w:rPr>
          <w:sz w:val="22"/>
          <w:szCs w:val="22"/>
        </w:rPr>
        <w:t>numerical</w:t>
      </w:r>
      <w:r w:rsidR="000909B5" w:rsidRPr="00257E49">
        <w:rPr>
          <w:sz w:val="22"/>
          <w:szCs w:val="22"/>
        </w:rPr>
        <w:t xml:space="preserve"> </w:t>
      </w:r>
      <w:r w:rsidRPr="00257E49">
        <w:rPr>
          <w:sz w:val="22"/>
          <w:szCs w:val="22"/>
        </w:rPr>
        <w:t>chronometric technique</w:t>
      </w:r>
      <w:r w:rsidR="00A93F6F">
        <w:rPr>
          <w:sz w:val="22"/>
          <w:szCs w:val="22"/>
        </w:rPr>
        <w:t>s</w:t>
      </w:r>
      <w:r w:rsidR="009C301E">
        <w:rPr>
          <w:sz w:val="22"/>
          <w:szCs w:val="22"/>
        </w:rPr>
        <w:t xml:space="preserve"> applied to</w:t>
      </w:r>
      <w:r w:rsidR="00A93F6F">
        <w:rPr>
          <w:sz w:val="22"/>
          <w:szCs w:val="22"/>
        </w:rPr>
        <w:t xml:space="preserve"> </w:t>
      </w:r>
      <w:r w:rsidR="009C301E">
        <w:rPr>
          <w:sz w:val="22"/>
          <w:szCs w:val="22"/>
        </w:rPr>
        <w:t>quartz or feldspar</w:t>
      </w:r>
      <w:r w:rsidR="00F356F0">
        <w:rPr>
          <w:sz w:val="22"/>
          <w:szCs w:val="22"/>
        </w:rPr>
        <w:t xml:space="preserve"> </w:t>
      </w:r>
      <w:r w:rsidR="00A93F6F">
        <w:rPr>
          <w:sz w:val="22"/>
          <w:szCs w:val="22"/>
        </w:rPr>
        <w:t xml:space="preserve">mineral grains to </w:t>
      </w:r>
      <w:r w:rsidRPr="00257E49">
        <w:rPr>
          <w:sz w:val="22"/>
          <w:szCs w:val="22"/>
        </w:rPr>
        <w:t xml:space="preserve">assess the time since </w:t>
      </w:r>
      <w:r w:rsidR="00A93F6F">
        <w:rPr>
          <w:sz w:val="22"/>
          <w:szCs w:val="22"/>
        </w:rPr>
        <w:t>the</w:t>
      </w:r>
      <w:r w:rsidR="009C301E">
        <w:rPr>
          <w:sz w:val="22"/>
          <w:szCs w:val="22"/>
        </w:rPr>
        <w:t>se</w:t>
      </w:r>
      <w:r w:rsidR="00A93F6F">
        <w:rPr>
          <w:sz w:val="22"/>
          <w:szCs w:val="22"/>
        </w:rPr>
        <w:t xml:space="preserve"> grains</w:t>
      </w:r>
      <w:r w:rsidRPr="00257E49">
        <w:rPr>
          <w:sz w:val="22"/>
          <w:szCs w:val="22"/>
        </w:rPr>
        <w:t xml:space="preserve"> were last exposed to sunlight</w:t>
      </w:r>
      <w:r w:rsidR="009C301E">
        <w:rPr>
          <w:sz w:val="22"/>
          <w:szCs w:val="22"/>
        </w:rPr>
        <w:t xml:space="preserve"> (i.e. deposited)</w:t>
      </w:r>
      <w:r w:rsidR="000909B5">
        <w:rPr>
          <w:sz w:val="22"/>
          <w:szCs w:val="22"/>
        </w:rPr>
        <w:t>,</w:t>
      </w:r>
      <w:r w:rsidR="00A93F6F">
        <w:rPr>
          <w:sz w:val="22"/>
          <w:szCs w:val="22"/>
        </w:rPr>
        <w:t xml:space="preserve"> based on the amount of energy they absorbed from ambient radiation during burial</w:t>
      </w:r>
      <w:r w:rsidRPr="00257E49">
        <w:rPr>
          <w:sz w:val="22"/>
          <w:szCs w:val="22"/>
        </w:rPr>
        <w:t xml:space="preserve">. </w:t>
      </w:r>
      <w:r w:rsidR="00A9185F">
        <w:rPr>
          <w:sz w:val="22"/>
          <w:szCs w:val="22"/>
        </w:rPr>
        <w:t>T</w:t>
      </w:r>
      <w:r w:rsidRPr="00257E49">
        <w:rPr>
          <w:sz w:val="22"/>
          <w:szCs w:val="22"/>
        </w:rPr>
        <w:t xml:space="preserve">he maximum limit of </w:t>
      </w:r>
      <w:r w:rsidR="000909B5">
        <w:rPr>
          <w:sz w:val="22"/>
          <w:szCs w:val="22"/>
        </w:rPr>
        <w:t xml:space="preserve">any </w:t>
      </w:r>
      <w:r w:rsidRPr="00257E49">
        <w:rPr>
          <w:sz w:val="22"/>
          <w:szCs w:val="22"/>
        </w:rPr>
        <w:t xml:space="preserve">OSL dating </w:t>
      </w:r>
      <w:r w:rsidR="000909B5">
        <w:rPr>
          <w:sz w:val="22"/>
          <w:szCs w:val="22"/>
        </w:rPr>
        <w:t xml:space="preserve">technique </w:t>
      </w:r>
      <w:r w:rsidRPr="00257E49">
        <w:rPr>
          <w:sz w:val="22"/>
          <w:szCs w:val="22"/>
        </w:rPr>
        <w:t xml:space="preserve">is not defined by a fixed upper age limit, but </w:t>
      </w:r>
      <w:r w:rsidR="00A9185F">
        <w:rPr>
          <w:sz w:val="22"/>
          <w:szCs w:val="22"/>
        </w:rPr>
        <w:t>instead</w:t>
      </w:r>
      <w:r w:rsidR="00A9185F" w:rsidRPr="00257E49">
        <w:rPr>
          <w:sz w:val="22"/>
          <w:szCs w:val="22"/>
        </w:rPr>
        <w:t xml:space="preserve"> </w:t>
      </w:r>
      <w:r w:rsidRPr="00257E49">
        <w:rPr>
          <w:sz w:val="22"/>
          <w:szCs w:val="22"/>
        </w:rPr>
        <w:t>by the maximum radiation dose the sample can accurately record before the OSL signal saturates.</w:t>
      </w:r>
      <w:r w:rsidR="00F26430">
        <w:rPr>
          <w:sz w:val="22"/>
          <w:szCs w:val="22"/>
        </w:rPr>
        <w:t xml:space="preserve"> </w:t>
      </w:r>
      <w:r w:rsidR="000909B5">
        <w:rPr>
          <w:sz w:val="22"/>
          <w:szCs w:val="22"/>
        </w:rPr>
        <w:t>The challenge is to assess this upper limit of accurate age determination</w:t>
      </w:r>
      <w:r w:rsidR="002E55C4">
        <w:rPr>
          <w:sz w:val="22"/>
          <w:szCs w:val="22"/>
        </w:rPr>
        <w:t xml:space="preserve"> without </w:t>
      </w:r>
      <w:r w:rsidR="00256CB6">
        <w:rPr>
          <w:sz w:val="22"/>
          <w:szCs w:val="22"/>
        </w:rPr>
        <w:t xml:space="preserve">necessitating </w:t>
      </w:r>
      <w:r w:rsidR="002E55C4">
        <w:rPr>
          <w:sz w:val="22"/>
          <w:szCs w:val="22"/>
        </w:rPr>
        <w:t xml:space="preserve">comparison to independent age control. Laboratory saturation of OSL signals can be observed </w:t>
      </w:r>
      <w:r w:rsidR="000E5B72">
        <w:rPr>
          <w:sz w:val="22"/>
          <w:szCs w:val="22"/>
        </w:rPr>
        <w:t>using a dose response curve (DRC)</w:t>
      </w:r>
      <w:r w:rsidR="002E55C4">
        <w:rPr>
          <w:sz w:val="22"/>
          <w:szCs w:val="22"/>
        </w:rPr>
        <w:t xml:space="preserve"> </w:t>
      </w:r>
      <w:r w:rsidR="000E5B72">
        <w:rPr>
          <w:sz w:val="22"/>
          <w:szCs w:val="22"/>
        </w:rPr>
        <w:t>plotting OSL signal intensity against absorbed laboratory radiation dose.</w:t>
      </w:r>
      <w:r w:rsidR="002E55C4">
        <w:rPr>
          <w:sz w:val="22"/>
          <w:szCs w:val="22"/>
        </w:rPr>
        <w:t xml:space="preserve"> When a DRC is fitted with a single saturating exponential, one of the equation’s parameters can be used to define a </w:t>
      </w:r>
      <w:r w:rsidR="002E55C4" w:rsidRPr="00257E49">
        <w:rPr>
          <w:sz w:val="22"/>
          <w:szCs w:val="22"/>
        </w:rPr>
        <w:t>pragmatic upper limit</w:t>
      </w:r>
      <w:r w:rsidR="002E55C4" w:rsidRPr="00933EFD">
        <w:rPr>
          <w:sz w:val="22"/>
          <w:szCs w:val="22"/>
        </w:rPr>
        <w:t xml:space="preserve"> </w:t>
      </w:r>
      <w:r w:rsidR="002E55C4" w:rsidRPr="00257E49">
        <w:rPr>
          <w:sz w:val="22"/>
          <w:szCs w:val="22"/>
        </w:rPr>
        <w:t>beyond which uncertainties become large and asymmetric</w:t>
      </w:r>
      <w:r w:rsidR="002E55C4">
        <w:rPr>
          <w:sz w:val="22"/>
          <w:szCs w:val="22"/>
        </w:rPr>
        <w:t xml:space="preserve"> (</w:t>
      </w:r>
      <w:proofErr w:type="spellStart"/>
      <w:r w:rsidR="002E55C4" w:rsidRPr="00257E49">
        <w:rPr>
          <w:sz w:val="22"/>
          <w:szCs w:val="22"/>
        </w:rPr>
        <w:t>Wintle</w:t>
      </w:r>
      <w:proofErr w:type="spellEnd"/>
      <w:r w:rsidR="002E55C4" w:rsidRPr="00257E49">
        <w:rPr>
          <w:sz w:val="22"/>
          <w:szCs w:val="22"/>
        </w:rPr>
        <w:t xml:space="preserve"> and Murray</w:t>
      </w:r>
      <w:r w:rsidR="002E55C4">
        <w:rPr>
          <w:sz w:val="22"/>
          <w:szCs w:val="22"/>
        </w:rPr>
        <w:t>,</w:t>
      </w:r>
      <w:r w:rsidR="002E55C4" w:rsidRPr="00257E49">
        <w:rPr>
          <w:sz w:val="22"/>
          <w:szCs w:val="22"/>
        </w:rPr>
        <w:t xml:space="preserve"> 2006)</w:t>
      </w:r>
      <w:r w:rsidR="002E55C4">
        <w:rPr>
          <w:sz w:val="22"/>
          <w:szCs w:val="22"/>
        </w:rPr>
        <w:t xml:space="preserve">. However, many sub-samples demonstrate DRCs that are best defined by double saturating exponential equations, which cannot be used to define this upper limit. </w:t>
      </w:r>
    </w:p>
    <w:p w14:paraId="2E61831B" w14:textId="77777777" w:rsidR="00CD0E76" w:rsidRDefault="00CD0E76" w:rsidP="00257E49">
      <w:pPr>
        <w:ind w:firstLine="720"/>
        <w:jc w:val="both"/>
        <w:rPr>
          <w:sz w:val="22"/>
          <w:szCs w:val="22"/>
        </w:rPr>
      </w:pPr>
    </w:p>
    <w:p w14:paraId="6DEF802B" w14:textId="6FCAEAB7" w:rsidR="00CD0E76" w:rsidRDefault="00A9185F" w:rsidP="00257E4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To investi</w:t>
      </w:r>
      <w:r w:rsidR="003B6719">
        <w:rPr>
          <w:sz w:val="22"/>
          <w:szCs w:val="22"/>
        </w:rPr>
        <w:t>g</w:t>
      </w:r>
      <w:r>
        <w:rPr>
          <w:sz w:val="22"/>
          <w:szCs w:val="22"/>
        </w:rPr>
        <w:t xml:space="preserve">ate </w:t>
      </w:r>
      <w:r w:rsidR="00CD0E76">
        <w:rPr>
          <w:sz w:val="22"/>
          <w:szCs w:val="22"/>
        </w:rPr>
        <w:t xml:space="preserve">the reliability of luminescence ages </w:t>
      </w:r>
      <w:r w:rsidR="00201141">
        <w:rPr>
          <w:sz w:val="22"/>
          <w:szCs w:val="22"/>
        </w:rPr>
        <w:t>approaching</w:t>
      </w:r>
      <w:r w:rsidR="00CD0E76">
        <w:rPr>
          <w:sz w:val="22"/>
          <w:szCs w:val="22"/>
        </w:rPr>
        <w:t xml:space="preserve"> saturation</w:t>
      </w:r>
      <w:r>
        <w:rPr>
          <w:sz w:val="22"/>
          <w:szCs w:val="22"/>
        </w:rPr>
        <w:t>,</w:t>
      </w:r>
      <w:r w:rsidR="00CD0E76">
        <w:rPr>
          <w:sz w:val="22"/>
          <w:szCs w:val="22"/>
        </w:rPr>
        <w:t xml:space="preserve"> </w:t>
      </w:r>
      <w:proofErr w:type="spellStart"/>
      <w:r w:rsidR="00CD0E76">
        <w:rPr>
          <w:sz w:val="22"/>
          <w:szCs w:val="22"/>
        </w:rPr>
        <w:t>Chapot</w:t>
      </w:r>
      <w:proofErr w:type="spellEnd"/>
      <w:r w:rsidR="00CD0E76">
        <w:rPr>
          <w:sz w:val="22"/>
          <w:szCs w:val="22"/>
        </w:rPr>
        <w:t xml:space="preserve"> et al.</w:t>
      </w:r>
      <w:r>
        <w:rPr>
          <w:sz w:val="22"/>
          <w:szCs w:val="22"/>
        </w:rPr>
        <w:t xml:space="preserve"> (</w:t>
      </w:r>
      <w:r w:rsidR="00CD0E76">
        <w:rPr>
          <w:sz w:val="22"/>
          <w:szCs w:val="22"/>
        </w:rPr>
        <w:t>2012</w:t>
      </w:r>
      <w:r>
        <w:rPr>
          <w:sz w:val="22"/>
          <w:szCs w:val="22"/>
        </w:rPr>
        <w:t>)</w:t>
      </w:r>
      <w:r w:rsidR="00CD0E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developed the Natural </w:t>
      </w:r>
      <w:r w:rsidR="00994A81">
        <w:rPr>
          <w:sz w:val="22"/>
          <w:szCs w:val="22"/>
        </w:rPr>
        <w:t>DRC</w:t>
      </w:r>
      <w:r>
        <w:rPr>
          <w:sz w:val="22"/>
          <w:szCs w:val="22"/>
        </w:rPr>
        <w:t xml:space="preserve"> concept</w:t>
      </w:r>
      <w:r w:rsidR="00CD0E76">
        <w:rPr>
          <w:sz w:val="22"/>
          <w:szCs w:val="22"/>
        </w:rPr>
        <w:t xml:space="preserve">, </w:t>
      </w:r>
      <w:r w:rsidR="009F437C">
        <w:rPr>
          <w:sz w:val="22"/>
          <w:szCs w:val="22"/>
        </w:rPr>
        <w:t xml:space="preserve">which </w:t>
      </w:r>
      <w:r w:rsidR="002E55C4">
        <w:rPr>
          <w:sz w:val="22"/>
          <w:szCs w:val="22"/>
        </w:rPr>
        <w:t xml:space="preserve">uses </w:t>
      </w:r>
      <w:r w:rsidR="00CD0E76">
        <w:rPr>
          <w:sz w:val="22"/>
          <w:szCs w:val="22"/>
        </w:rPr>
        <w:t xml:space="preserve">expected ages </w:t>
      </w:r>
      <w:r>
        <w:rPr>
          <w:sz w:val="22"/>
          <w:szCs w:val="22"/>
        </w:rPr>
        <w:t>derived from</w:t>
      </w:r>
      <w:r w:rsidR="00CD0E76">
        <w:rPr>
          <w:sz w:val="22"/>
          <w:szCs w:val="22"/>
        </w:rPr>
        <w:t xml:space="preserve"> independent age control</w:t>
      </w:r>
      <w:r w:rsidR="009F437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D0E76">
        <w:rPr>
          <w:sz w:val="22"/>
          <w:szCs w:val="22"/>
        </w:rPr>
        <w:t>combined with sample-specific measurements of ambient radioactivity</w:t>
      </w:r>
      <w:r w:rsidR="009F437C">
        <w:rPr>
          <w:sz w:val="22"/>
          <w:szCs w:val="22"/>
        </w:rPr>
        <w:t>,</w:t>
      </w:r>
      <w:r w:rsidR="00CD0E76">
        <w:rPr>
          <w:sz w:val="22"/>
          <w:szCs w:val="22"/>
        </w:rPr>
        <w:t xml:space="preserve"> to calculate expected doses of absorbed radiation during burial</w:t>
      </w:r>
      <w:r w:rsidR="00201141">
        <w:rPr>
          <w:sz w:val="22"/>
          <w:szCs w:val="22"/>
        </w:rPr>
        <w:t>. Natural OSL signal intensity</w:t>
      </w:r>
      <w:r w:rsidR="00CD0E76">
        <w:rPr>
          <w:sz w:val="22"/>
          <w:szCs w:val="22"/>
        </w:rPr>
        <w:t xml:space="preserve"> </w:t>
      </w:r>
      <w:r w:rsidR="002E55C4">
        <w:rPr>
          <w:sz w:val="22"/>
          <w:szCs w:val="22"/>
        </w:rPr>
        <w:t xml:space="preserve">is </w:t>
      </w:r>
      <w:r w:rsidR="00CD0E76">
        <w:rPr>
          <w:sz w:val="22"/>
          <w:szCs w:val="22"/>
        </w:rPr>
        <w:t xml:space="preserve">then plotted against </w:t>
      </w:r>
      <w:r w:rsidR="00201141">
        <w:rPr>
          <w:sz w:val="22"/>
          <w:szCs w:val="22"/>
        </w:rPr>
        <w:t xml:space="preserve">these expected doses </w:t>
      </w:r>
      <w:r w:rsidR="00CD0E76">
        <w:rPr>
          <w:sz w:val="22"/>
          <w:szCs w:val="22"/>
        </w:rPr>
        <w:t>and compared to l</w:t>
      </w:r>
      <w:r w:rsidR="00367360">
        <w:rPr>
          <w:sz w:val="22"/>
          <w:szCs w:val="22"/>
        </w:rPr>
        <w:t>aboratory</w:t>
      </w:r>
      <w:r w:rsidR="00201141">
        <w:rPr>
          <w:sz w:val="22"/>
          <w:szCs w:val="22"/>
        </w:rPr>
        <w:t>-generated</w:t>
      </w:r>
      <w:r w:rsidR="00367360">
        <w:rPr>
          <w:sz w:val="22"/>
          <w:szCs w:val="22"/>
        </w:rPr>
        <w:t xml:space="preserve"> </w:t>
      </w:r>
      <w:r w:rsidR="00994A81">
        <w:rPr>
          <w:sz w:val="22"/>
          <w:szCs w:val="22"/>
        </w:rPr>
        <w:t>DRC</w:t>
      </w:r>
      <w:r w:rsidR="00367360">
        <w:rPr>
          <w:sz w:val="22"/>
          <w:szCs w:val="22"/>
        </w:rPr>
        <w:t xml:space="preserve">s. </w:t>
      </w:r>
      <w:r w:rsidR="009F437C">
        <w:rPr>
          <w:sz w:val="22"/>
          <w:szCs w:val="22"/>
        </w:rPr>
        <w:t>Using this approach, d</w:t>
      </w:r>
      <w:r w:rsidR="00367360">
        <w:rPr>
          <w:sz w:val="22"/>
          <w:szCs w:val="22"/>
        </w:rPr>
        <w:t xml:space="preserve">iscrepancies between natural and laboratory </w:t>
      </w:r>
      <w:r w:rsidR="00994A81">
        <w:rPr>
          <w:sz w:val="22"/>
          <w:szCs w:val="22"/>
        </w:rPr>
        <w:t>DRC</w:t>
      </w:r>
      <w:r w:rsidR="00367360">
        <w:rPr>
          <w:sz w:val="22"/>
          <w:szCs w:val="22"/>
        </w:rPr>
        <w:t xml:space="preserve">s have been observed </w:t>
      </w:r>
      <w:r w:rsidR="00FB1056">
        <w:rPr>
          <w:sz w:val="22"/>
          <w:szCs w:val="22"/>
        </w:rPr>
        <w:t>for the same mineral material as</w:t>
      </w:r>
      <w:r w:rsidR="00367360">
        <w:rPr>
          <w:sz w:val="22"/>
          <w:szCs w:val="22"/>
        </w:rPr>
        <w:t xml:space="preserve"> natural OSL signal intensities saturate at absorbed radiation doses lower than the pragmatic upper limit </w:t>
      </w:r>
      <w:r w:rsidR="00FB1056">
        <w:rPr>
          <w:sz w:val="22"/>
          <w:szCs w:val="22"/>
        </w:rPr>
        <w:t xml:space="preserve">defined </w:t>
      </w:r>
      <w:r w:rsidR="006B644C">
        <w:rPr>
          <w:sz w:val="22"/>
          <w:szCs w:val="22"/>
        </w:rPr>
        <w:t xml:space="preserve">by </w:t>
      </w:r>
      <w:r w:rsidR="00367360">
        <w:rPr>
          <w:sz w:val="22"/>
          <w:szCs w:val="22"/>
        </w:rPr>
        <w:t xml:space="preserve">laboratory </w:t>
      </w:r>
      <w:r w:rsidR="00994A81">
        <w:rPr>
          <w:sz w:val="22"/>
          <w:szCs w:val="22"/>
        </w:rPr>
        <w:t>DRC</w:t>
      </w:r>
      <w:r w:rsidR="00367360">
        <w:rPr>
          <w:sz w:val="22"/>
          <w:szCs w:val="22"/>
        </w:rPr>
        <w:t>s</w:t>
      </w:r>
      <w:r w:rsidR="005E76D2">
        <w:rPr>
          <w:sz w:val="22"/>
          <w:szCs w:val="22"/>
        </w:rPr>
        <w:t>, leading to increasing age underestimation with depth</w:t>
      </w:r>
      <w:r w:rsidR="000E5B72">
        <w:rPr>
          <w:sz w:val="22"/>
          <w:szCs w:val="22"/>
        </w:rPr>
        <w:t xml:space="preserve"> without a metric </w:t>
      </w:r>
      <w:r w:rsidR="006B644C">
        <w:rPr>
          <w:sz w:val="22"/>
          <w:szCs w:val="22"/>
        </w:rPr>
        <w:t>for questioning the age re</w:t>
      </w:r>
      <w:r w:rsidR="00256CB6">
        <w:rPr>
          <w:sz w:val="22"/>
          <w:szCs w:val="22"/>
        </w:rPr>
        <w:t>liability</w:t>
      </w:r>
      <w:r w:rsidR="005E76D2">
        <w:rPr>
          <w:sz w:val="22"/>
          <w:szCs w:val="22"/>
        </w:rPr>
        <w:t xml:space="preserve">. </w:t>
      </w:r>
    </w:p>
    <w:p w14:paraId="1814D7E7" w14:textId="77777777" w:rsidR="00994A81" w:rsidRDefault="00994A81" w:rsidP="00257E49">
      <w:pPr>
        <w:ind w:firstLine="720"/>
        <w:jc w:val="both"/>
        <w:rPr>
          <w:sz w:val="22"/>
          <w:szCs w:val="22"/>
        </w:rPr>
      </w:pPr>
    </w:p>
    <w:p w14:paraId="72AB6A25" w14:textId="7936818B" w:rsidR="008F10E4" w:rsidRDefault="00DA6EF4" w:rsidP="00F1550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</w:t>
      </w:r>
      <w:r w:rsidR="009F437C">
        <w:rPr>
          <w:sz w:val="22"/>
          <w:szCs w:val="22"/>
        </w:rPr>
        <w:t>e present</w:t>
      </w:r>
      <w:r>
        <w:rPr>
          <w:sz w:val="22"/>
          <w:szCs w:val="22"/>
        </w:rPr>
        <w:t xml:space="preserve"> study </w:t>
      </w:r>
      <w:r w:rsidR="009F437C">
        <w:rPr>
          <w:sz w:val="22"/>
          <w:szCs w:val="22"/>
        </w:rPr>
        <w:t>explores a means</w:t>
      </w:r>
      <w:r>
        <w:rPr>
          <w:sz w:val="22"/>
          <w:szCs w:val="22"/>
        </w:rPr>
        <w:t xml:space="preserve"> of defining the upper limit for reliable luminescence ages </w:t>
      </w:r>
      <w:r w:rsidR="009F437C">
        <w:rPr>
          <w:sz w:val="22"/>
          <w:szCs w:val="22"/>
        </w:rPr>
        <w:t xml:space="preserve">for sedimentary records without </w:t>
      </w:r>
      <w:r w:rsidR="006B644C">
        <w:rPr>
          <w:sz w:val="22"/>
          <w:szCs w:val="22"/>
        </w:rPr>
        <w:t>an</w:t>
      </w:r>
      <w:r w:rsidR="009F437C">
        <w:rPr>
          <w:sz w:val="22"/>
          <w:szCs w:val="22"/>
        </w:rPr>
        <w:t xml:space="preserve"> established chronologic framework,</w:t>
      </w:r>
      <w:r>
        <w:rPr>
          <w:sz w:val="22"/>
          <w:szCs w:val="22"/>
        </w:rPr>
        <w:t xml:space="preserve"> </w:t>
      </w:r>
      <w:r w:rsidR="00C326E5">
        <w:rPr>
          <w:sz w:val="22"/>
          <w:szCs w:val="22"/>
        </w:rPr>
        <w:t xml:space="preserve">using a </w:t>
      </w:r>
      <w:r w:rsidR="005E76D2">
        <w:rPr>
          <w:sz w:val="22"/>
          <w:szCs w:val="22"/>
        </w:rPr>
        <w:t>long (</w:t>
      </w:r>
      <w:r w:rsidR="00C326E5" w:rsidRPr="008F10E4">
        <w:rPr>
          <w:sz w:val="22"/>
          <w:szCs w:val="22"/>
        </w:rPr>
        <w:t>~</w:t>
      </w:r>
      <w:r w:rsidR="006E0E72">
        <w:rPr>
          <w:sz w:val="22"/>
          <w:szCs w:val="22"/>
        </w:rPr>
        <w:t>280</w:t>
      </w:r>
      <w:r w:rsidR="00C326E5" w:rsidRPr="008F10E4">
        <w:rPr>
          <w:sz w:val="22"/>
          <w:szCs w:val="22"/>
        </w:rPr>
        <w:t>m</w:t>
      </w:r>
      <w:r w:rsidR="005E76D2">
        <w:rPr>
          <w:sz w:val="22"/>
          <w:szCs w:val="22"/>
        </w:rPr>
        <w:t xml:space="preserve">; </w:t>
      </w:r>
      <w:r w:rsidR="005E76D2" w:rsidRPr="008F10E4">
        <w:rPr>
          <w:sz w:val="22"/>
          <w:szCs w:val="22"/>
        </w:rPr>
        <w:t>Cohen et al., 2016</w:t>
      </w:r>
      <w:r w:rsidR="005E76D2">
        <w:rPr>
          <w:sz w:val="22"/>
          <w:szCs w:val="22"/>
        </w:rPr>
        <w:t xml:space="preserve">) </w:t>
      </w:r>
      <w:r w:rsidR="006B644C">
        <w:rPr>
          <w:sz w:val="22"/>
          <w:szCs w:val="22"/>
        </w:rPr>
        <w:t>lacustrine record</w:t>
      </w:r>
      <w:r w:rsidR="006B644C" w:rsidRPr="008F10E4">
        <w:rPr>
          <w:sz w:val="22"/>
          <w:szCs w:val="22"/>
        </w:rPr>
        <w:t xml:space="preserve"> </w:t>
      </w:r>
      <w:r w:rsidR="00F1550B">
        <w:rPr>
          <w:sz w:val="22"/>
          <w:szCs w:val="22"/>
        </w:rPr>
        <w:t xml:space="preserve">from </w:t>
      </w:r>
      <w:r w:rsidR="00F1550B" w:rsidRPr="008F10E4">
        <w:rPr>
          <w:sz w:val="22"/>
          <w:szCs w:val="22"/>
        </w:rPr>
        <w:t>Chew Bahir, Ethiopia</w:t>
      </w:r>
      <w:r w:rsidR="00F1550B">
        <w:rPr>
          <w:sz w:val="22"/>
          <w:szCs w:val="22"/>
        </w:rPr>
        <w:t xml:space="preserve">, drilled as part </w:t>
      </w:r>
      <w:r w:rsidR="00F1550B" w:rsidRPr="008F10E4">
        <w:rPr>
          <w:sz w:val="22"/>
          <w:szCs w:val="22"/>
        </w:rPr>
        <w:t xml:space="preserve">of the Hominin Sites and </w:t>
      </w:r>
      <w:proofErr w:type="spellStart"/>
      <w:r w:rsidR="00F1550B" w:rsidRPr="008F10E4">
        <w:rPr>
          <w:sz w:val="22"/>
          <w:szCs w:val="22"/>
        </w:rPr>
        <w:t>Paleolakes</w:t>
      </w:r>
      <w:proofErr w:type="spellEnd"/>
      <w:r w:rsidR="00F1550B" w:rsidRPr="008F10E4">
        <w:rPr>
          <w:sz w:val="22"/>
          <w:szCs w:val="22"/>
        </w:rPr>
        <w:t xml:space="preserve"> </w:t>
      </w:r>
      <w:bookmarkStart w:id="0" w:name="_GoBack"/>
      <w:bookmarkEnd w:id="0"/>
      <w:r w:rsidR="00F1550B" w:rsidRPr="008F10E4">
        <w:rPr>
          <w:sz w:val="22"/>
          <w:szCs w:val="22"/>
        </w:rPr>
        <w:t>Drilling Project (HSPDP) of the International Continental Scientific Drilling Programme (ICDP)</w:t>
      </w:r>
      <w:r w:rsidR="003476DC">
        <w:rPr>
          <w:sz w:val="22"/>
          <w:szCs w:val="22"/>
        </w:rPr>
        <w:t xml:space="preserve"> and CRC806 “Our way to Europe”</w:t>
      </w:r>
      <w:r w:rsidR="00F1550B" w:rsidRPr="008F10E4">
        <w:rPr>
          <w:sz w:val="22"/>
          <w:szCs w:val="22"/>
        </w:rPr>
        <w:t>.</w:t>
      </w:r>
      <w:r w:rsidR="00F1550B">
        <w:rPr>
          <w:sz w:val="22"/>
          <w:szCs w:val="22"/>
        </w:rPr>
        <w:t xml:space="preserve"> </w:t>
      </w:r>
      <w:r w:rsidR="006B644C">
        <w:rPr>
          <w:sz w:val="22"/>
          <w:szCs w:val="22"/>
        </w:rPr>
        <w:t xml:space="preserve">Natural saturation of OSL signals is explored by plotting natural signal intensity against depth, creating a </w:t>
      </w:r>
      <w:r w:rsidR="00256CB6">
        <w:rPr>
          <w:sz w:val="22"/>
          <w:szCs w:val="22"/>
        </w:rPr>
        <w:t>pseudo-</w:t>
      </w:r>
      <w:r w:rsidR="006B644C">
        <w:rPr>
          <w:sz w:val="22"/>
          <w:szCs w:val="22"/>
        </w:rPr>
        <w:t xml:space="preserve">Natural </w:t>
      </w:r>
      <w:r w:rsidR="00256CB6">
        <w:rPr>
          <w:sz w:val="22"/>
          <w:szCs w:val="22"/>
        </w:rPr>
        <w:t>DRC</w:t>
      </w:r>
      <w:r w:rsidR="006B644C">
        <w:rPr>
          <w:sz w:val="22"/>
          <w:szCs w:val="22"/>
        </w:rPr>
        <w:t xml:space="preserve"> that can be compared to laboratory DRCs. </w:t>
      </w:r>
      <w:r w:rsidR="00F1550B">
        <w:rPr>
          <w:sz w:val="22"/>
          <w:szCs w:val="22"/>
        </w:rPr>
        <w:t xml:space="preserve">Unlike the homogenous deposits of the Chinese Loess Plateau where the </w:t>
      </w:r>
      <w:r w:rsidR="0071669F">
        <w:rPr>
          <w:sz w:val="22"/>
          <w:szCs w:val="22"/>
        </w:rPr>
        <w:t xml:space="preserve">Natural </w:t>
      </w:r>
      <w:r w:rsidR="00F86D0F">
        <w:rPr>
          <w:sz w:val="22"/>
          <w:szCs w:val="22"/>
        </w:rPr>
        <w:t xml:space="preserve">DRC </w:t>
      </w:r>
      <w:r w:rsidR="00F1550B">
        <w:rPr>
          <w:sz w:val="22"/>
          <w:szCs w:val="22"/>
        </w:rPr>
        <w:t>concept was developed, t</w:t>
      </w:r>
      <w:r w:rsidR="006E0E72">
        <w:rPr>
          <w:sz w:val="22"/>
          <w:szCs w:val="22"/>
        </w:rPr>
        <w:t>he ~280</w:t>
      </w:r>
      <w:r w:rsidR="008F10E4" w:rsidRPr="008F10E4">
        <w:rPr>
          <w:sz w:val="22"/>
          <w:szCs w:val="22"/>
        </w:rPr>
        <w:t xml:space="preserve">m composite core </w:t>
      </w:r>
      <w:r w:rsidR="009F437C">
        <w:rPr>
          <w:sz w:val="22"/>
          <w:szCs w:val="22"/>
        </w:rPr>
        <w:t xml:space="preserve">from Chew Bahir </w:t>
      </w:r>
      <w:r w:rsidR="003061C7">
        <w:rPr>
          <w:sz w:val="22"/>
          <w:szCs w:val="22"/>
        </w:rPr>
        <w:t xml:space="preserve">shows </w:t>
      </w:r>
      <w:r w:rsidR="00F1550B">
        <w:rPr>
          <w:sz w:val="22"/>
          <w:szCs w:val="22"/>
        </w:rPr>
        <w:t xml:space="preserve">significant </w:t>
      </w:r>
      <w:r w:rsidR="008F10E4" w:rsidRPr="008F10E4">
        <w:rPr>
          <w:sz w:val="22"/>
          <w:szCs w:val="22"/>
        </w:rPr>
        <w:t>varia</w:t>
      </w:r>
      <w:r w:rsidR="00F1550B">
        <w:rPr>
          <w:sz w:val="22"/>
          <w:szCs w:val="22"/>
        </w:rPr>
        <w:t>tion in</w:t>
      </w:r>
      <w:r w:rsidR="008F10E4" w:rsidRPr="008F10E4">
        <w:rPr>
          <w:sz w:val="22"/>
          <w:szCs w:val="22"/>
        </w:rPr>
        <w:t xml:space="preserve"> </w:t>
      </w:r>
      <w:r w:rsidR="00987792" w:rsidRPr="008F10E4">
        <w:rPr>
          <w:sz w:val="22"/>
          <w:szCs w:val="22"/>
        </w:rPr>
        <w:t>litholog</w:t>
      </w:r>
      <w:r w:rsidR="00987792">
        <w:rPr>
          <w:sz w:val="22"/>
          <w:szCs w:val="22"/>
        </w:rPr>
        <w:t>y</w:t>
      </w:r>
      <w:r w:rsidR="00F86D0F">
        <w:rPr>
          <w:sz w:val="22"/>
          <w:szCs w:val="22"/>
        </w:rPr>
        <w:t xml:space="preserve"> </w:t>
      </w:r>
      <w:r w:rsidR="000C3BB7">
        <w:rPr>
          <w:sz w:val="22"/>
          <w:szCs w:val="22"/>
        </w:rPr>
        <w:t xml:space="preserve">enabling </w:t>
      </w:r>
      <w:r w:rsidR="0040675E">
        <w:rPr>
          <w:sz w:val="22"/>
          <w:szCs w:val="22"/>
        </w:rPr>
        <w:t xml:space="preserve">investigation of the effects of sample to sample variability on </w:t>
      </w:r>
      <w:r w:rsidR="00987792">
        <w:rPr>
          <w:sz w:val="22"/>
          <w:szCs w:val="22"/>
        </w:rPr>
        <w:t xml:space="preserve">Natural </w:t>
      </w:r>
      <w:r w:rsidR="002E55C4">
        <w:rPr>
          <w:sz w:val="22"/>
          <w:szCs w:val="22"/>
        </w:rPr>
        <w:t>D</w:t>
      </w:r>
      <w:r w:rsidR="0006728F">
        <w:rPr>
          <w:sz w:val="22"/>
          <w:szCs w:val="22"/>
        </w:rPr>
        <w:t>R</w:t>
      </w:r>
      <w:r w:rsidR="002E55C4">
        <w:rPr>
          <w:sz w:val="22"/>
          <w:szCs w:val="22"/>
        </w:rPr>
        <w:t xml:space="preserve">C </w:t>
      </w:r>
      <w:r w:rsidR="0040675E">
        <w:rPr>
          <w:sz w:val="22"/>
          <w:szCs w:val="22"/>
        </w:rPr>
        <w:t>construction</w:t>
      </w:r>
      <w:r w:rsidR="003061C7">
        <w:rPr>
          <w:sz w:val="22"/>
          <w:szCs w:val="22"/>
        </w:rPr>
        <w:t>,</w:t>
      </w:r>
      <w:r w:rsidR="005701D4">
        <w:rPr>
          <w:sz w:val="22"/>
          <w:szCs w:val="22"/>
        </w:rPr>
        <w:t xml:space="preserve"> </w:t>
      </w:r>
      <w:r w:rsidR="000C3BB7">
        <w:rPr>
          <w:sz w:val="22"/>
          <w:szCs w:val="22"/>
        </w:rPr>
        <w:t xml:space="preserve">and </w:t>
      </w:r>
      <w:r w:rsidR="003061C7">
        <w:rPr>
          <w:sz w:val="22"/>
          <w:szCs w:val="22"/>
        </w:rPr>
        <w:t xml:space="preserve">facilitating </w:t>
      </w:r>
      <w:r w:rsidR="000C3BB7">
        <w:rPr>
          <w:sz w:val="22"/>
          <w:szCs w:val="22"/>
        </w:rPr>
        <w:t xml:space="preserve">comparison between signals from </w:t>
      </w:r>
      <w:r w:rsidR="0040675E">
        <w:rPr>
          <w:sz w:val="22"/>
          <w:szCs w:val="22"/>
        </w:rPr>
        <w:t>fine</w:t>
      </w:r>
      <w:r w:rsidR="00987792">
        <w:rPr>
          <w:sz w:val="22"/>
          <w:szCs w:val="22"/>
        </w:rPr>
        <w:t>-</w:t>
      </w:r>
      <w:r w:rsidR="0040675E">
        <w:rPr>
          <w:sz w:val="22"/>
          <w:szCs w:val="22"/>
        </w:rPr>
        <w:t>quartz</w:t>
      </w:r>
      <w:r w:rsidR="000C3BB7">
        <w:rPr>
          <w:sz w:val="22"/>
          <w:szCs w:val="22"/>
        </w:rPr>
        <w:t xml:space="preserve">, </w:t>
      </w:r>
      <w:r w:rsidR="0040675E">
        <w:rPr>
          <w:sz w:val="22"/>
          <w:szCs w:val="22"/>
        </w:rPr>
        <w:t>fine</w:t>
      </w:r>
      <w:r w:rsidR="00987792">
        <w:rPr>
          <w:sz w:val="22"/>
          <w:szCs w:val="22"/>
        </w:rPr>
        <w:t>-</w:t>
      </w:r>
      <w:proofErr w:type="spellStart"/>
      <w:r w:rsidR="000C3BB7">
        <w:rPr>
          <w:sz w:val="22"/>
          <w:szCs w:val="22"/>
        </w:rPr>
        <w:t>polymineral</w:t>
      </w:r>
      <w:proofErr w:type="spellEnd"/>
      <w:r w:rsidR="000C3BB7">
        <w:rPr>
          <w:sz w:val="22"/>
          <w:szCs w:val="22"/>
        </w:rPr>
        <w:t>, and coarse</w:t>
      </w:r>
      <w:r w:rsidR="00987792">
        <w:rPr>
          <w:sz w:val="22"/>
          <w:szCs w:val="22"/>
        </w:rPr>
        <w:t>-</w:t>
      </w:r>
      <w:r w:rsidR="000C3BB7">
        <w:rPr>
          <w:sz w:val="22"/>
          <w:szCs w:val="22"/>
        </w:rPr>
        <w:t>potassium feldspar</w:t>
      </w:r>
      <w:r w:rsidR="0040675E">
        <w:rPr>
          <w:sz w:val="22"/>
          <w:szCs w:val="22"/>
        </w:rPr>
        <w:t xml:space="preserve"> grains</w:t>
      </w:r>
      <w:r w:rsidR="003061C7">
        <w:rPr>
          <w:sz w:val="22"/>
          <w:szCs w:val="22"/>
        </w:rPr>
        <w:t xml:space="preserve">. This work </w:t>
      </w:r>
      <w:r w:rsidR="00987792">
        <w:rPr>
          <w:sz w:val="22"/>
          <w:szCs w:val="22"/>
        </w:rPr>
        <w:t xml:space="preserve">demonstrates </w:t>
      </w:r>
      <w:r w:rsidR="00472E9C">
        <w:rPr>
          <w:sz w:val="22"/>
          <w:szCs w:val="22"/>
        </w:rPr>
        <w:t xml:space="preserve">how the concepts of </w:t>
      </w:r>
      <w:r w:rsidR="00987792">
        <w:rPr>
          <w:sz w:val="22"/>
          <w:szCs w:val="22"/>
        </w:rPr>
        <w:t xml:space="preserve">Natural </w:t>
      </w:r>
      <w:r w:rsidR="00472E9C">
        <w:rPr>
          <w:sz w:val="22"/>
          <w:szCs w:val="22"/>
        </w:rPr>
        <w:t>DRCs can be used to define the upper dating limit of sample suites without independent age control</w:t>
      </w:r>
      <w:r w:rsidR="003061C7">
        <w:rPr>
          <w:sz w:val="22"/>
          <w:szCs w:val="22"/>
        </w:rPr>
        <w:t>, providing valuable information for long sedimentary sequences such as the lacustrine deposits from Chew Bahir</w:t>
      </w:r>
      <w:r w:rsidR="000C3BB7">
        <w:rPr>
          <w:sz w:val="22"/>
          <w:szCs w:val="22"/>
        </w:rPr>
        <w:t>.</w:t>
      </w:r>
    </w:p>
    <w:p w14:paraId="3513F43E" w14:textId="77777777" w:rsidR="0019477F" w:rsidRDefault="0019477F" w:rsidP="0019477F">
      <w:pPr>
        <w:jc w:val="both"/>
        <w:rPr>
          <w:sz w:val="22"/>
          <w:szCs w:val="22"/>
        </w:rPr>
      </w:pPr>
    </w:p>
    <w:p w14:paraId="598DD074" w14:textId="7E8B78EF" w:rsidR="0019477F" w:rsidRDefault="0019477F" w:rsidP="0019477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Chapot</w:t>
      </w:r>
      <w:proofErr w:type="spellEnd"/>
      <w:r w:rsidRPr="0019477F">
        <w:rPr>
          <w:sz w:val="22"/>
          <w:szCs w:val="22"/>
        </w:rPr>
        <w:t xml:space="preserve"> </w:t>
      </w:r>
      <w:r>
        <w:rPr>
          <w:sz w:val="22"/>
          <w:szCs w:val="22"/>
        </w:rPr>
        <w:t>M.S.</w:t>
      </w:r>
      <w:r w:rsidRPr="0019477F">
        <w:rPr>
          <w:sz w:val="22"/>
          <w:szCs w:val="22"/>
        </w:rPr>
        <w:t>, et al. (201</w:t>
      </w:r>
      <w:r>
        <w:rPr>
          <w:sz w:val="22"/>
          <w:szCs w:val="22"/>
        </w:rPr>
        <w:t>2</w:t>
      </w:r>
      <w:r w:rsidRPr="0019477F">
        <w:rPr>
          <w:sz w:val="22"/>
          <w:szCs w:val="22"/>
        </w:rPr>
        <w:t>), Radiat</w:t>
      </w:r>
      <w:r>
        <w:rPr>
          <w:sz w:val="22"/>
          <w:szCs w:val="22"/>
        </w:rPr>
        <w:t>ion</w:t>
      </w:r>
      <w:r w:rsidRPr="0019477F">
        <w:rPr>
          <w:sz w:val="22"/>
          <w:szCs w:val="22"/>
        </w:rPr>
        <w:t xml:space="preserve"> Meas</w:t>
      </w:r>
      <w:r>
        <w:rPr>
          <w:sz w:val="22"/>
          <w:szCs w:val="22"/>
        </w:rPr>
        <w:t>urements</w:t>
      </w:r>
      <w:r w:rsidRPr="0019477F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19477F">
        <w:rPr>
          <w:sz w:val="22"/>
          <w:szCs w:val="22"/>
        </w:rPr>
        <w:t xml:space="preserve">: </w:t>
      </w:r>
      <w:r>
        <w:rPr>
          <w:sz w:val="22"/>
          <w:szCs w:val="22"/>
        </w:rPr>
        <w:t>1045-1052</w:t>
      </w:r>
      <w:r w:rsidRPr="0019477F">
        <w:rPr>
          <w:sz w:val="22"/>
          <w:szCs w:val="22"/>
        </w:rPr>
        <w:t>.</w:t>
      </w:r>
    </w:p>
    <w:p w14:paraId="3082DB7E" w14:textId="77777777" w:rsidR="0019477F" w:rsidRDefault="0019477F" w:rsidP="0019477F">
      <w:pPr>
        <w:jc w:val="both"/>
        <w:rPr>
          <w:sz w:val="22"/>
          <w:szCs w:val="22"/>
        </w:rPr>
      </w:pPr>
      <w:r w:rsidRPr="0019477F">
        <w:rPr>
          <w:sz w:val="22"/>
          <w:szCs w:val="22"/>
        </w:rPr>
        <w:t>Cohen A, et al. (2016), Scientific Drilling 21: 1-16.</w:t>
      </w:r>
    </w:p>
    <w:p w14:paraId="4C74A379" w14:textId="5C3B0853" w:rsidR="005701D4" w:rsidRDefault="006E0E72" w:rsidP="0019477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Wintle</w:t>
      </w:r>
      <w:proofErr w:type="spellEnd"/>
      <w:r>
        <w:rPr>
          <w:sz w:val="22"/>
          <w:szCs w:val="22"/>
        </w:rPr>
        <w:t>, A.</w:t>
      </w:r>
      <w:r w:rsidR="00256CB6">
        <w:rPr>
          <w:sz w:val="22"/>
          <w:szCs w:val="22"/>
        </w:rPr>
        <w:t>G.</w:t>
      </w:r>
      <w:r>
        <w:rPr>
          <w:sz w:val="22"/>
          <w:szCs w:val="22"/>
        </w:rPr>
        <w:t>,</w:t>
      </w:r>
      <w:r w:rsidR="00256CB6">
        <w:rPr>
          <w:sz w:val="22"/>
          <w:szCs w:val="22"/>
        </w:rPr>
        <w:t xml:space="preserve"> Murray, A.S.</w:t>
      </w:r>
      <w:r w:rsidR="005701D4" w:rsidRPr="005701D4">
        <w:rPr>
          <w:sz w:val="22"/>
          <w:szCs w:val="22"/>
        </w:rPr>
        <w:t xml:space="preserve"> (2006) Radiation Measurements 41: 369-391.</w:t>
      </w:r>
    </w:p>
    <w:p w14:paraId="3F53A351" w14:textId="4B941B5E" w:rsidR="00D116D0" w:rsidRDefault="00D116D0" w:rsidP="00DE60A9">
      <w:pPr>
        <w:ind w:firstLine="720"/>
        <w:jc w:val="both"/>
        <w:rPr>
          <w:sz w:val="22"/>
          <w:szCs w:val="22"/>
        </w:rPr>
      </w:pPr>
    </w:p>
    <w:sectPr w:rsidR="00D116D0" w:rsidSect="003476DC">
      <w:footerReference w:type="even" r:id="rId8"/>
      <w:pgSz w:w="11906" w:h="16838" w:code="9"/>
      <w:pgMar w:top="1021" w:right="1134" w:bottom="1418" w:left="1134" w:header="709" w:footer="851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4FD67" w14:textId="77777777" w:rsidR="0082308A" w:rsidRDefault="0082308A">
      <w:r>
        <w:separator/>
      </w:r>
    </w:p>
  </w:endnote>
  <w:endnote w:type="continuationSeparator" w:id="0">
    <w:p w14:paraId="791405ED" w14:textId="77777777" w:rsidR="0082308A" w:rsidRDefault="008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D08F" w14:textId="77777777" w:rsidR="003476DC" w:rsidRDefault="003476DC" w:rsidP="00347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CB88C" w14:textId="77777777" w:rsidR="003476DC" w:rsidRDefault="00347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68EC" w14:textId="77777777" w:rsidR="0082308A" w:rsidRDefault="0082308A">
      <w:r>
        <w:separator/>
      </w:r>
    </w:p>
  </w:footnote>
  <w:footnote w:type="continuationSeparator" w:id="0">
    <w:p w14:paraId="714B4A5B" w14:textId="77777777" w:rsidR="0082308A" w:rsidRDefault="0082308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Trauth">
    <w15:presenceInfo w15:providerId="None" w15:userId="Martin Trau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9"/>
    <w:rsid w:val="00041506"/>
    <w:rsid w:val="0006728F"/>
    <w:rsid w:val="000909B5"/>
    <w:rsid w:val="000C3BB7"/>
    <w:rsid w:val="000E5B72"/>
    <w:rsid w:val="000F4285"/>
    <w:rsid w:val="0015632F"/>
    <w:rsid w:val="00177A32"/>
    <w:rsid w:val="0019477F"/>
    <w:rsid w:val="00201141"/>
    <w:rsid w:val="002056DC"/>
    <w:rsid w:val="00232166"/>
    <w:rsid w:val="00256CB6"/>
    <w:rsid w:val="00257E49"/>
    <w:rsid w:val="002E55C4"/>
    <w:rsid w:val="003061C7"/>
    <w:rsid w:val="003476DC"/>
    <w:rsid w:val="00367360"/>
    <w:rsid w:val="003B6719"/>
    <w:rsid w:val="0040675E"/>
    <w:rsid w:val="004318E9"/>
    <w:rsid w:val="00472E9C"/>
    <w:rsid w:val="004B6B97"/>
    <w:rsid w:val="005701D4"/>
    <w:rsid w:val="005E76D2"/>
    <w:rsid w:val="0061071F"/>
    <w:rsid w:val="0063752B"/>
    <w:rsid w:val="00685F2B"/>
    <w:rsid w:val="006A3319"/>
    <w:rsid w:val="006B644C"/>
    <w:rsid w:val="006E0E72"/>
    <w:rsid w:val="0071669F"/>
    <w:rsid w:val="00735E19"/>
    <w:rsid w:val="00791D7A"/>
    <w:rsid w:val="007A2060"/>
    <w:rsid w:val="007C0A69"/>
    <w:rsid w:val="0082308A"/>
    <w:rsid w:val="008F10E4"/>
    <w:rsid w:val="00933EFD"/>
    <w:rsid w:val="00987792"/>
    <w:rsid w:val="00994A81"/>
    <w:rsid w:val="009C301E"/>
    <w:rsid w:val="009D5EE9"/>
    <w:rsid w:val="009F437C"/>
    <w:rsid w:val="00A56B70"/>
    <w:rsid w:val="00A9185F"/>
    <w:rsid w:val="00A93F6F"/>
    <w:rsid w:val="00B71847"/>
    <w:rsid w:val="00C302A3"/>
    <w:rsid w:val="00C326E5"/>
    <w:rsid w:val="00C6109B"/>
    <w:rsid w:val="00CD0E76"/>
    <w:rsid w:val="00D116D0"/>
    <w:rsid w:val="00D122E4"/>
    <w:rsid w:val="00D5248F"/>
    <w:rsid w:val="00D725F3"/>
    <w:rsid w:val="00DA6EF4"/>
    <w:rsid w:val="00DB081C"/>
    <w:rsid w:val="00DE60A9"/>
    <w:rsid w:val="00E53F3D"/>
    <w:rsid w:val="00E6078E"/>
    <w:rsid w:val="00E87269"/>
    <w:rsid w:val="00F1550B"/>
    <w:rsid w:val="00F26430"/>
    <w:rsid w:val="00F34C5F"/>
    <w:rsid w:val="00F356F0"/>
    <w:rsid w:val="00F5784C"/>
    <w:rsid w:val="00F86D0F"/>
    <w:rsid w:val="00FB1056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3E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49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57E4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E4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57E4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PageNumber">
    <w:name w:val="page number"/>
    <w:uiPriority w:val="99"/>
    <w:rsid w:val="00257E49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57E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7E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7E49"/>
  </w:style>
  <w:style w:type="character" w:styleId="CommentReference">
    <w:name w:val="annotation reference"/>
    <w:basedOn w:val="DefaultParagraphFont"/>
    <w:uiPriority w:val="99"/>
    <w:semiHidden/>
    <w:unhideWhenUsed/>
    <w:rsid w:val="008F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0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49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57E4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E4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57E4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PageNumber">
    <w:name w:val="page number"/>
    <w:uiPriority w:val="99"/>
    <w:rsid w:val="00257E49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57E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7E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7E49"/>
  </w:style>
  <w:style w:type="character" w:styleId="CommentReference">
    <w:name w:val="annotation reference"/>
    <w:basedOn w:val="DefaultParagraphFont"/>
    <w:uiPriority w:val="99"/>
    <w:semiHidden/>
    <w:unhideWhenUsed/>
    <w:rsid w:val="008F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0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D7A7-0756-42C0-AF80-AB526E9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2017-01-10T11:50:00Z</cp:lastPrinted>
  <dcterms:created xsi:type="dcterms:W3CDTF">2017-01-11T11:34:00Z</dcterms:created>
  <dcterms:modified xsi:type="dcterms:W3CDTF">2017-01-11T11:34:00Z</dcterms:modified>
</cp:coreProperties>
</file>